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bookmarkStart w:id="0" w:name="_GoBack"/>
      <w:bookmarkEnd w:id="0"/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Programma workshop</w:t>
      </w:r>
    </w:p>
    <w:p w:rsidR="00BF1A71" w:rsidRDefault="001F2D29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Cultuur en zorg</w:t>
      </w:r>
      <w:r w:rsid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Pr="00BF1A71" w:rsidRDefault="001F2D29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16.15 - 16.30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Inloop</w:t>
      </w: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Pr="00BF1A71" w:rsidRDefault="001F2D29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16.3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5 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16.50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Kennismaken met elkaar en met elkaars cultuur, wat verwacht je van deze workshop?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</w:p>
    <w:p w:rsidR="00BF1A71" w:rsidRPr="00BF1A71" w:rsidRDefault="001F2D29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16.50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17.15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Presentatie: de belevingswereld van de pati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ë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nt met een migratieachtergrond</w:t>
      </w:r>
      <w:r w:rsid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Pr="00BF1A71" w:rsidRDefault="001F2D29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17.15 - 17.40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In gesprek: jijzelf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in de driehoek pati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ë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nt, organisatie, professional</w:t>
      </w:r>
      <w:r w:rsid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1F2D29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17.40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- 18.00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="00BF1A71"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Presentatie: Eigen regie, zorg op maat en een moeilijk gesprek</w:t>
      </w:r>
      <w:r w:rsid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Pauze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18.20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18.45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In gesprek: Zoek samen naar mogelijkheden binnen het beleid van het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ziekenhuis, geef zo nodig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 grenzen aan.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br/>
        <w:t xml:space="preserve">18.45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19.05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Presentatie casus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met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aandacht voor de belevingswereld van de pati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ë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nt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(Welke culturele waarden en normen waren van belang: netwerk, voeding, religie)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  <w:t xml:space="preserve">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                            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     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19.05 - 19.25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In gesprek: (mogelijk in rollenspel) wat is er nodig voor een beter contact in deze casus?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 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19.25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19.45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Wat is er nodig om meer cultuursensitiviteit in het beleid op te nemen?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                         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19.45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20.00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Afsluiting, evaluatie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lastRenderedPageBreak/>
        <w:t>Programma casu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ï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stiek  bespreking.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De zorg van de wieg tot het graf: Cultuur maakt het verschil.</w:t>
      </w: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16.00 -16.15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Welkom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, kennismaken 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16.15- 16.30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Hoe bespreken we een casus? 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16.30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16.55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Casus I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16.55 -17.05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Pauze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17.05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17.30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Casus II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17.30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17.55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Casus III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17.55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18.00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 Afsluiting, evaluatie</w:t>
      </w:r>
    </w:p>
    <w:p w:rsidR="00B35B64" w:rsidRDefault="00BF1A71" w:rsidP="00BF1A71"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</w:p>
    <w:sectPr w:rsidR="00B3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71"/>
    <w:rsid w:val="001F2D29"/>
    <w:rsid w:val="00B35B64"/>
    <w:rsid w:val="00BF1A71"/>
    <w:rsid w:val="00C5171A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F906-3FD4-4137-8C84-E82AF9B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B880FC8A</Template>
  <TotalTime>0</TotalTime>
  <Pages>2</Pages>
  <Words>217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Kleyweg, Ruud - Management Leerhuis</dc:creator>
  <cp:keywords/>
  <dc:description/>
  <cp:lastModifiedBy>Jongeneel - Brouwer, Petra - Centraal Bureau Leerhuis</cp:lastModifiedBy>
  <cp:revision>2</cp:revision>
  <dcterms:created xsi:type="dcterms:W3CDTF">2020-09-17T13:07:00Z</dcterms:created>
  <dcterms:modified xsi:type="dcterms:W3CDTF">2020-09-17T13:07:00Z</dcterms:modified>
</cp:coreProperties>
</file>